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cf3b218473c14f1d"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BUCEGI - LEAOTA</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DEZVOLTAREA AFACERILOR ÎN SECTORUL NON-AGRICOL</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Investiția trebuie să se realizeze în teritoriul GAL iar solicitanții au sediul social și/sau punctul de lucru şi îşi desfăşoară activitatea pe teritoriul GAL;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NECESARE VERIFICĂRII</w:t>
            </w:r>
          </w:p>
          <w:p>
            <w:pPr>
              <w:pStyle w:val="ListParagraph"/>
              <w:numPr>
                <w:ilvl w:val="0"/>
                <w:numId w:val="2"/>
              </w:numPr>
            </w:pPr>
            <w:r>
              <w:rPr>
                <w:rFonts w:ascii="Cambria" w:hAnsi="Cambria"/>
                <w:b w:val="false"/>
                <w:sz w:val="24"/>
              </w:rPr>
              <w:t>Certificat de înregistrare fiscală</w:t>
            </w:r>
          </w:p>
          <w:p>
            <w:pPr>
              <w:pStyle w:val="ListParagraph"/>
              <w:numPr>
                <w:ilvl w:val="0"/>
                <w:numId w:val="2"/>
              </w:numPr>
            </w:pPr>
            <w:r>
              <w:rPr>
                <w:rFonts w:ascii="Cambria" w:hAnsi="Cambria"/>
                <w:b w:val="false"/>
                <w:sz w:val="24"/>
              </w:rPr>
              <w:t>Certificat Constatator</w:t>
            </w:r>
          </w:p>
          <w:p>
            <w:pPr>
              <w:pStyle w:val="ListParagraph"/>
              <w:numPr>
                <w:ilvl w:val="0"/>
                <w:numId w:val="2"/>
              </w:numPr>
            </w:pPr>
            <w:r>
              <w:rPr>
                <w:rFonts w:ascii="Cambria" w:hAnsi="Cambria"/>
                <w:b w:val="false"/>
                <w:sz w:val="24"/>
              </w:rPr>
              <w:t>SF/DALI/PT/MJ/CF;</w:t>
            </w:r>
          </w:p>
          <w:p>
            <w:pPr>
              <w:pStyle w:val="ListParagraph"/>
              <w:numPr>
                <w:ilvl w:val="0"/>
                <w:numId w:val="2"/>
              </w:numPr>
            </w:pPr>
            <w:r>
              <w:rPr>
                <w:rFonts w:ascii="Cambria" w:hAnsi="Cambria"/>
                <w:b w:val="false"/>
                <w:sz w:val="24"/>
              </w:rPr>
              <w:t>Certificat de urbanism (pentru proiectele cu construcţii-montaj (pot include dotări şi echipamente fără montaj) care necesită Autorizaţie de construcţie) cu exceptia proiectelor de dotări şi/sau cu echipamente fără montaj (în cazul în care există ncheltuieli eligibile și neeligibile numai pe liniile bugetare 4.4, 4.5, 4.6 și 3.7.1 din bugetul Indicativ);</w:t>
            </w:r>
          </w:p>
          <w:p>
            <w:pPr>
              <w:pStyle w:val="ListParagraph"/>
              <w:numPr>
                <w:ilvl w:val="0"/>
                <w:numId w:val="2"/>
              </w:numPr>
            </w:pPr>
            <w:r>
              <w:rPr>
                <w:rFonts w:ascii="Cambria" w:hAnsi="Cambria"/>
                <w:b w:val="false"/>
                <w:sz w:val="24"/>
              </w:rPr>
              <w:t>Autorizația de construire (dacă proiectul impune si daca solicitantul a obținut autorizația de construire);</w:t>
            </w:r>
          </w:p>
          <w:p>
            <w:pPr>
              <w:pStyle w:val="ListParagraph"/>
              <w:numPr>
                <w:ilvl w:val="0"/>
                <w:numId w:val="2"/>
              </w:numPr>
            </w:pPr>
            <w:r>
              <w:rPr>
                <w:rFonts w:ascii="Cambria" w:hAnsi="Cambria"/>
                <w:b w:val="false"/>
                <w:sz w:val="24"/>
              </w:rPr>
              <w:t>Negația din partea autorității competente (Consiliul județean/ Consiliul local) cu privire la faptul că pentru proiectul depus nu se emite autorizație de construcție (pentru proiectele cu construcţii-montaj care nu necesită Autorizaţie de nconstrucţie (pot include şi dotări şi echipamente fără montaj);</w:t>
            </w:r>
          </w:p>
          <w:p>
            <w:pPr>
              <w:pStyle w:val="ListParagraph"/>
              <w:numPr>
                <w:ilvl w:val="0"/>
                <w:numId w:val="2"/>
              </w:numPr>
            </w:pPr>
            <w:r>
              <w:rPr>
                <w:rFonts w:ascii="Cambria" w:hAnsi="Cambria"/>
                <w:b w:val="false"/>
                <w:sz w:val="24"/>
              </w:rPr>
              <w:t>Expertiza tehnică de specialitate asupra construcţiei existente (dupa caz);</w:t>
            </w:r>
          </w:p>
          <w:p>
            <w:pPr>
              <w:pStyle w:val="ListParagraph"/>
              <w:numPr>
                <w:ilvl w:val="0"/>
                <w:numId w:val="2"/>
              </w:numPr>
            </w:pPr>
            <w:r>
              <w:rPr>
                <w:rFonts w:ascii="Cambria" w:hAnsi="Cambria"/>
                <w:b w:val="false"/>
                <w:sz w:val="24"/>
              </w:rPr>
              <w:t>Raportul privind stadiul fizic al lucrărilor (după caz).</w:t>
            </w:r>
          </w:p>
          <w:p>
            <w:pPr>
              <w:pStyle w:val="ListParagraph"/>
              <w:numPr>
                <w:ilvl w:val="0"/>
                <w:numId w:val="2"/>
              </w:numPr>
            </w:pPr>
            <w:r>
              <w:rPr>
                <w:rFonts w:ascii="Cambria" w:hAnsi="Cambria"/>
                <w:b w:val="false"/>
                <w:sz w:val="24"/>
              </w:rPr>
              <w:t>Documente care atesta ca sediul social și/ sau punctul/ punctele de lucru sunt pe teritoriul GAL.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trebuie să fie înscris la ONRC ca persoană juridică (PFA, II, IFsau SRL) și să fie micro-întreprindere sau întreprindere mică.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trebuie să nu fie în insolvență, incapacitate de plată sau în dificultate;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p>
          <w:p>
            <w:pPr>
              <w:pStyle w:val="ListParagraph"/>
              <w:numPr>
                <w:ilvl w:val="0"/>
                <w:numId w:val="3"/>
              </w:numPr>
            </w:pPr>
            <w:r>
              <w:rPr>
                <w:rFonts w:ascii="Cambria" w:hAnsi="Cambria"/>
                <w:b w:val="false"/>
                <w:sz w:val="24"/>
              </w:rPr>
              <w:t>Cererea de finanţare – Declaraţia F;</w:t>
            </w:r>
          </w:p>
          <w:p>
            <w:pPr>
              <w:pStyle w:val="ListParagraph"/>
              <w:numPr>
                <w:ilvl w:val="0"/>
                <w:numId w:val="3"/>
              </w:numPr>
            </w:pPr>
            <w:r>
              <w:rPr>
                <w:rFonts w:ascii="Cambria" w:hAnsi="Cambria"/>
                <w:b w:val="false"/>
                <w:sz w:val="24"/>
              </w:rPr>
              <w:t>Certificatul constatator;</w:t>
            </w:r>
          </w:p>
          <w:p>
            <w:pPr>
              <w:spacing w:line="360" w:lineRule="auto"/>
              <w:ind w:left="0" w:right="0" w:firstLine="493"/>
            </w:pPr>
            <w:r>
              <w:rPr>
                <w:rFonts w:ascii="Cambria Bold" w:hAnsi="Cambria Bold"/>
                <w:b/>
                <w:sz w:val="24"/>
              </w:rPr>
              <w:t>Metodologia de verificare:</w:t>
            </w:r>
            <w:r>
              <w:rPr>
                <w:rFonts w:ascii="Cambria" w:hAnsi="Cambria"/>
                <w:b w:val="false"/>
                <w:sz w:val="24"/>
              </w:rPr>
              <w:t> Se verifică dacă solicitantul și-a asumat prin Declaraţia pe proprie răspundere din secțiunea F a Cererii de finanțare faptul ca nu este in insolvență.</w:t>
            </w:r>
          </w:p>
          <w:p>
            <w:pPr>
              <w:spacing w:line="360" w:lineRule="auto"/>
              <w:ind w:left="0" w:right="0" w:firstLine="493"/>
            </w:pPr>
            <w:r>
              <w:rPr>
                <w:rFonts w:ascii="Cambria" w:hAnsi="Cambria"/>
                <w:b w:val="false"/>
                <w:sz w:val="24"/>
              </w:rPr>
              <w:t>Se verifică Certificatul constatator din ONRC pentru a se  identifica eventuale decizii de insolvență.</w:t>
            </w:r>
          </w:p>
          <w:p>
            <w:pPr>
              <w:spacing w:line="360" w:lineRule="auto"/>
              <w:ind w:left="0" w:right="0" w:firstLine="493"/>
            </w:pPr>
            <w:r>
              <w:rPr>
                <w:rFonts w:ascii="Cambria" w:hAnsi="Cambria"/>
                <w:b w:val="false"/>
                <w:sz w:val="24"/>
              </w:rPr>
              <w:t>Dacă în urma verificării, beneficiarul figurează în Buletinul Procedurilor</w:t>
            </w:r>
          </w:p>
          <w:p>
            <w:pPr>
              <w:spacing w:line="360" w:lineRule="auto"/>
              <w:ind w:left="0" w:right="0" w:firstLine="493"/>
            </w:pPr>
            <w:r>
              <w:rPr>
                <w:rFonts w:ascii="Cambria" w:hAnsi="Cambria"/>
                <w:b w:val="false"/>
                <w:sz w:val="24"/>
              </w:rPr>
              <w:t>de Insolvenţă cu dosar pe rol sau figurează în Registrul situațiilor de</w:t>
            </w:r>
          </w:p>
          <w:p>
            <w:pPr>
              <w:spacing w:line="360" w:lineRule="auto"/>
              <w:ind w:left="0" w:right="0" w:firstLine="493"/>
            </w:pPr>
            <w:r>
              <w:rPr>
                <w:rFonts w:ascii="Cambria" w:hAnsi="Cambria"/>
                <w:b w:val="false"/>
                <w:sz w:val="24"/>
              </w:rPr>
              <w:t>insolvență, cererea de finanțare va fi declarată neeligibi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Investiția trebuie să se încadreze în cel puțin unul din domeniile sprijinite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dacă proiectul se încadrează în cel puțin unul dintre tipurile deactivități sprijinite prin intervenție și corespunde cu activitățile eligibile din Anexa 13 - Lista codurilor CAEN aferente activităților neagricole eligibile.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Solicitantul trebuie să demonstreze capacitatea de a asigura cofinanțarea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pStyle w:val="ListParagraph"/>
              <w:numPr>
                <w:ilvl w:val="0"/>
                <w:numId w:val="3"/>
              </w:numPr>
            </w:pPr>
            <w:r>
              <w:rPr>
                <w:rFonts w:ascii="Cambria" w:hAnsi="Cambria"/>
                <w:b w:val="false"/>
                <w:sz w:val="24"/>
                <w:lang w:val="it"/>
              </w:rPr>
              <w:t>Expertul verifică dacă solicitantul, prin reprezentantul legal, a semnat Declaraţia F şi s-a angajat ca în urma primirii Notificării </w:t>
            </w:r>
            <w:r>
              <w:rPr>
                <w:rFonts w:ascii="Cambria" w:hAnsi="Cambria"/>
                <w:b w:val="false"/>
                <w:sz w:val="24"/>
              </w:rPr>
              <w:t>beneficiarului privind selectarea Cererii de Finanțare</w:t>
            </w:r>
            <w:r>
              <w:rPr>
                <w:rFonts w:ascii="Cambria" w:hAnsi="Cambria"/>
                <w:b w:val="false"/>
                <w:sz w:val="24"/>
                <w:lang w:val="it"/>
              </w:rPr>
              <w:t>va prezenta documentul privind cofinanțarea investiției.</w:t>
            </w:r>
          </w:p>
          <w:p>
            <w:pPr>
              <w:pStyle w:val="ListParagraph"/>
              <w:numPr>
                <w:ilvl w:val="0"/>
                <w:numId w:val="3"/>
              </w:numPr>
            </w:pPr>
            <w:r>
              <w:rPr>
                <w:rFonts w:ascii="Cambria" w:hAnsi="Cambria"/>
                <w:b w:val="false"/>
                <w:sz w:val="24"/>
              </w:rPr>
              <w:t>Se verifică: Angajamentul responsabilului legal al proiectului prin care menționează că 50% din cofinanțarea privată asigurată prin extras de cont în vederea semnării contractului de finanțare, va fi utilizată exclusiv în scopul implementării proiectului.</w:t>
            </w:r>
          </w:p>
          <w:p>
            <w:pPr>
              <w:spacing w:line="360" w:lineRule="auto"/>
              <w:ind w:left="0" w:right="0" w:firstLine="493"/>
            </w:pPr>
            <w:r>
              <w:rPr>
                <w:rFonts w:ascii="Cambria Bold" w:hAnsi="Cambria Bold"/>
                <w:b/>
                <w:sz w:val="24"/>
              </w:rPr>
              <w:t>Metodologia: </w:t>
            </w:r>
            <w:r>
              <w:rPr>
                <w:rFonts w:ascii="Cambria" w:hAnsi="Cambria"/>
                <w:b w:val="false"/>
                <w:sz w:val="24"/>
              </w:rPr>
              <w:t>Angajatul GAL (expertul cooptat dupa caz) verifică în baza informaţiilor din documentele de mai sus angajamentul responsabilului legal al proiectului.</w:t>
            </w:r>
          </w:p>
          <w:p>
            <w:pPr>
              <w:spacing w:line="360" w:lineRule="auto"/>
              <w:ind w:left="0" w:right="0" w:firstLine="493"/>
            </w:pPr>
            <w:r>
              <w:rPr>
                <w:rFonts w:ascii="Cambria" w:hAnsi="Cambria"/>
                <w:b w:val="false"/>
                <w:sz w:val="24"/>
              </w:rPr>
              <w:t>Dacă verificarea documentelor confirmă existența documentelor, se va</w:t>
            </w:r>
          </w:p>
          <w:p>
            <w:pPr>
              <w:spacing w:line="360" w:lineRule="auto"/>
              <w:ind w:left="0" w:right="0" w:firstLine="493"/>
            </w:pPr>
            <w:r>
              <w:rPr>
                <w:rFonts w:ascii="Cambria" w:hAnsi="Cambria"/>
                <w:b w:val="false"/>
                <w:sz w:val="24"/>
              </w:rPr>
              <w:t>bifa caseta “da” pentru verificare. În caz contrar, angajatul GAL (expertul</w:t>
            </w:r>
          </w:p>
          <w:p>
            <w:pPr>
              <w:spacing w:line="360" w:lineRule="auto"/>
              <w:ind w:left="0" w:right="0" w:firstLine="493"/>
            </w:pPr>
            <w:r>
              <w:rPr>
                <w:rFonts w:ascii="Cambria" w:hAnsi="Cambria"/>
                <w:b w:val="false"/>
                <w:sz w:val="24"/>
              </w:rPr>
              <w:t>cooptat dupa caz) bifează casuţa din coloana NU şi motivează poziţia în</w:t>
            </w:r>
          </w:p>
          <w:p>
            <w:pPr>
              <w:spacing w:line="360" w:lineRule="auto"/>
              <w:ind w:left="0" w:right="0" w:firstLine="493"/>
            </w:pPr>
            <w:r>
              <w:rPr>
                <w:rFonts w:ascii="Cambria" w:hAnsi="Cambria"/>
                <w:b w:val="false"/>
                <w:sz w:val="24"/>
              </w:rPr>
              <w:t>rubrica „Observaţii”, criteriul de eligibilitate nefiind îndeplinit.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Solicitantul nu are datorii la bugetul general consolidat şi la bugetele locale, atât pentru sediul social, cât şi pentru toate punctele de lucru, după caz;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DOCUMENTE NECESARE VERIFICĂRII</w:t>
            </w:r>
          </w:p>
          <w:p>
            <w:pPr>
              <w:pStyle w:val="ListParagraph"/>
              <w:numPr>
                <w:ilvl w:val="0"/>
                <w:numId w:val="3"/>
              </w:numPr>
            </w:pPr>
            <w:r>
              <w:rPr>
                <w:rFonts w:ascii="Cambria" w:hAnsi="Cambria"/>
                <w:b w:val="false"/>
                <w:sz w:val="24"/>
              </w:rPr>
              <w:t>Cererea de finanţare – Declaraţia F.</w:t>
            </w:r>
          </w:p>
          <w:p>
            <w:pPr>
              <w:spacing w:line="360" w:lineRule="auto"/>
              <w:ind w:left="0" w:right="0" w:firstLine="493"/>
            </w:pPr>
            <w:r>
              <w:rPr>
                <w:rFonts w:ascii="Cambria Bold" w:hAnsi="Cambria Bold"/>
                <w:b/>
                <w:sz w:val="24"/>
              </w:rPr>
              <w:t>Metodologia de verificare: </w:t>
            </w:r>
            <w:r>
              <w:rPr>
                <w:rFonts w:ascii="Cambria" w:hAnsi="Cambria"/>
                <w:b w:val="false"/>
                <w:sz w:val="24"/>
              </w:rPr>
              <w:t>Se verifică dacă solicitantul și-a asumat</w:t>
            </w:r>
          </w:p>
          <w:p>
            <w:pPr>
              <w:spacing w:line="360" w:lineRule="auto"/>
              <w:ind w:left="0" w:right="0" w:firstLine="493"/>
            </w:pPr>
            <w:r>
              <w:rPr>
                <w:rFonts w:ascii="Cambria" w:hAnsi="Cambria"/>
                <w:b w:val="false"/>
                <w:sz w:val="24"/>
              </w:rPr>
              <w:t>prin Declaraţia pe proprie răspundere din secțiunea F a Cererii de</w:t>
            </w:r>
          </w:p>
          <w:p>
            <w:pPr>
              <w:spacing w:line="360" w:lineRule="auto"/>
              <w:ind w:left="0" w:right="0" w:firstLine="493"/>
            </w:pPr>
            <w:r>
              <w:rPr>
                <w:rFonts w:ascii="Cambria" w:hAnsi="Cambria"/>
                <w:b w:val="false"/>
                <w:sz w:val="24"/>
              </w:rPr>
              <w:t>finanțare faptul că nu figurează cu datorii restante fiscale și sociale.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Viabilitatea economică a investiției trebuie să fie demonstrată pe baza prezentării unei documentații tehnico-economice;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NECESARE VERIFICĂRII</w:t>
            </w:r>
          </w:p>
          <w:p>
            <w:pPr>
              <w:pStyle w:val="ListParagraph"/>
              <w:numPr>
                <w:ilvl w:val="0"/>
                <w:numId w:val="3"/>
              </w:numPr>
            </w:pPr>
            <w:r>
              <w:rPr>
                <w:rFonts w:ascii="Cambria" w:hAnsi="Cambria"/>
                <w:b w:val="false"/>
                <w:sz w:val="24"/>
              </w:rPr>
              <w:t>Cererea de finantare</w:t>
            </w:r>
          </w:p>
          <w:p>
            <w:pPr>
              <w:pStyle w:val="ListParagraph"/>
              <w:numPr>
                <w:ilvl w:val="0"/>
                <w:numId w:val="3"/>
              </w:numPr>
            </w:pPr>
            <w:r>
              <w:rPr>
                <w:rFonts w:ascii="Cambria" w:hAnsi="Cambria"/>
                <w:b w:val="false"/>
                <w:sz w:val="24"/>
              </w:rPr>
              <w:t>SF/DALI/MJ </w:t>
            </w:r>
          </w:p>
          <w:p>
            <w:pPr>
              <w:pStyle w:val="ListParagraph"/>
              <w:numPr>
                <w:ilvl w:val="0"/>
                <w:numId w:val="3"/>
              </w:numPr>
            </w:pPr>
            <w:r>
              <w:rPr>
                <w:rFonts w:ascii="Cambria" w:hAnsi="Cambria"/>
                <w:b w:val="false"/>
                <w:sz w:val="24"/>
              </w:rPr>
              <w:t>Situații financiare(bilanţul  - formularul 10, contul de profit și pierdere - formularul 20) </w:t>
            </w:r>
          </w:p>
          <w:p>
            <w:pPr>
              <w:pStyle w:val="ListParagraph"/>
              <w:numPr>
                <w:ilvl w:val="0"/>
                <w:numId w:val="3"/>
              </w:numPr>
            </w:pPr>
            <w:r>
              <w:rPr>
                <w:rFonts w:ascii="Cambria" w:hAnsi="Cambria"/>
                <w:b w:val="false"/>
                <w:sz w:val="24"/>
              </w:rPr>
              <w:t>Matricea de verificare a viabilității economico-financiare a proiectului</w:t>
            </w:r>
          </w:p>
          <w:p>
            <w:pPr>
              <w:pStyle w:val="ListParagraph"/>
              <w:numPr>
                <w:ilvl w:val="0"/>
                <w:numId w:val="3"/>
              </w:numPr>
            </w:pPr>
            <w:r>
              <w:rPr>
                <w:rFonts w:ascii="Cambria" w:hAnsi="Cambria"/>
                <w:b w:val="false"/>
                <w:sz w:val="24"/>
              </w:rPr>
              <w:t>Buget indicativ</w:t>
            </w:r>
          </w:p>
          <w:p>
            <w:pPr>
              <w:pStyle w:val="ListParagraph"/>
              <w:numPr>
                <w:ilvl w:val="0"/>
                <w:numId w:val="3"/>
              </w:numPr>
            </w:pPr>
            <w:r>
              <w:rPr>
                <w:rFonts w:ascii="Cambria" w:hAnsi="Cambria"/>
                <w:b w:val="false"/>
                <w:sz w:val="24"/>
              </w:rPr>
              <w:t>Anexele B sau C aferente Studiului de fezabilitate în vederea completării Matricei de verificare a viabilităţii economico-financiare a proiectului.</w:t>
            </w:r>
          </w:p>
          <w:p>
            <w:pPr>
              <w:pStyle w:val="ListParagraph"/>
              <w:numPr>
                <w:ilvl w:val="0"/>
                <w:numId w:val="3"/>
              </w:numPr>
            </w:pPr>
            <w:r>
              <w:rPr>
                <w:rFonts w:ascii="Cambria" w:hAnsi="Cambria"/>
                <w:b w:val="false"/>
                <w:sz w:val="24"/>
              </w:rPr>
              <w:t>Declarația de inactivitate înregistrată la Administrația Financiară, în cazul solicitanților care nu au desfășurat activitate anterior depunerii proiectului</w:t>
            </w:r>
          </w:p>
          <w:p>
            <w:pPr>
              <w:pStyle w:val="ListParagraph"/>
              <w:numPr>
                <w:ilvl w:val="0"/>
                <w:numId w:val="3"/>
              </w:numPr>
            </w:pPr>
            <w:r>
              <w:rPr>
                <w:rFonts w:ascii="Cambria" w:hAnsi="Cambria"/>
                <w:b w:val="false"/>
                <w:sz w:val="24"/>
              </w:rPr>
              <w:t>Pentru persoane fizice autorizate, intreprinderi familiale și  intreprinderi individuale: Declarație  privind veniturile realizate în anul precedent depunerii proiectului înregistrată la Administraţia Financiară;</w:t>
            </w:r>
          </w:p>
          <w:p>
            <w:pPr>
              <w:pStyle w:val="ListParagraph"/>
              <w:numPr>
                <w:ilvl w:val="0"/>
                <w:numId w:val="3"/>
              </w:numPr>
            </w:pPr>
            <w:r>
              <w:rPr>
                <w:rFonts w:ascii="Cambria" w:hAnsi="Cambria"/>
                <w:b w:val="false"/>
                <w:sz w:val="24"/>
              </w:rPr>
              <w:t>În cazul persoanelor fizice autorizate, întreprinderilor individuale și întreprinderilor familiale se va prezenta:</w:t>
            </w:r>
          </w:p>
          <w:p>
            <w:pPr>
              <w:spacing w:line="360" w:lineRule="auto"/>
              <w:ind w:left="0" w:right="0" w:firstLine="493"/>
            </w:pPr>
            <w:r>
              <w:rPr>
                <w:rFonts w:ascii="Cambria" w:hAnsi="Cambria"/>
                <w:b w:val="false"/>
                <w:sz w:val="24"/>
              </w:rPr>
              <w:t>-         Declarație privind veniturile realizate în anul precedent depunerii proiectului  în care rezultatul brut obţinut anual să nu fie negativ. </w:t>
            </w:r>
          </w:p>
          <w:p>
            <w:pPr>
              <w:spacing w:line="360" w:lineRule="auto"/>
              <w:ind w:left="0" w:right="0" w:firstLine="493"/>
            </w:pPr>
            <w:r>
              <w:rPr>
                <w:rFonts w:ascii="Cambria" w:hAnsi="Cambria"/>
                <w:b w:val="false"/>
                <w:sz w:val="24"/>
              </w:rPr>
              <w:t>Verificarea îndeplinirii criteriului se va face conform punctelor I și II.</w:t>
            </w:r>
          </w:p>
          <w:p>
            <w:pPr>
              <w:spacing w:line="360" w:lineRule="auto"/>
              <w:ind w:left="0" w:right="0" w:firstLine="493"/>
            </w:pPr>
            <w:r>
              <w:rPr>
                <w:rFonts w:ascii="Cambria" w:hAnsi="Cambria"/>
                <w:b w:val="false"/>
                <w:sz w:val="24"/>
              </w:rPr>
              <w:t>I.a) În cazul tuturor solicitanților, cu excepția PFA, II și IF, expertul verifică, situațiile financiare ale acestora, după cum urmează:</w:t>
            </w:r>
          </w:p>
          <w:p>
            <w:pPr>
              <w:spacing w:line="360" w:lineRule="auto"/>
              <w:ind w:left="0" w:right="0" w:firstLine="493"/>
            </w:pPr>
            <w:r>
              <w:rPr>
                <w:rFonts w:ascii="Cambria" w:hAnsi="Cambria"/>
                <w:b w:val="false"/>
                <w:sz w:val="24"/>
              </w:rPr>
              <w:t>-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w:t>
            </w:r>
          </w:p>
          <w:p>
            <w:pPr>
              <w:spacing w:line="360" w:lineRule="auto"/>
              <w:ind w:left="0" w:right="0" w:firstLine="493"/>
            </w:pPr>
            <w:r>
              <w:rPr>
                <w:rFonts w:ascii="Cambria" w:hAnsi="Cambria"/>
                <w:b w:val="false"/>
                <w:sz w:val="24"/>
              </w:rPr>
              <w:t>În cazul în care anul precedent depunerii Cererii de Finanţare este anul înfiinţării, nu se analizează rezultatul operaţional care poate fi negativ.</w:t>
            </w:r>
          </w:p>
          <w:p>
            <w:pPr>
              <w:spacing w:line="360" w:lineRule="auto"/>
              <w:ind w:left="0" w:right="0" w:firstLine="493"/>
            </w:pPr>
            <w:r>
              <w:rPr>
                <w:rFonts w:ascii="Cambria" w:hAnsi="Cambria"/>
                <w:b w:val="false"/>
                <w:sz w:val="24"/>
              </w:rPr>
              <w:t>Este acceptată pierderea din exploatare pe anul anterior depunerii cererii de finanțare.</w:t>
            </w:r>
          </w:p>
          <w:p>
            <w:pPr>
              <w:spacing w:line="360" w:lineRule="auto"/>
              <w:ind w:left="0" w:right="0" w:firstLine="493"/>
            </w:pPr>
            <w:r>
              <w:rPr>
                <w:rFonts w:ascii="Cambria" w:hAnsi="Cambria"/>
                <w:b w:val="false"/>
                <w:sz w:val="24"/>
              </w:rPr>
              <w:t>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w:t>
            </w:r>
          </w:p>
          <w:p>
            <w:pPr>
              <w:spacing w:line="360" w:lineRule="auto"/>
              <w:ind w:left="0" w:right="0" w:firstLine="493"/>
            </w:pPr>
            <w:r>
              <w:rPr>
                <w:rFonts w:ascii="Cambria" w:hAnsi="Cambria"/>
                <w:b w:val="false"/>
                <w:sz w:val="24"/>
              </w:rPr>
              <w:t>Sau</w:t>
            </w:r>
          </w:p>
          <w:p>
            <w:pPr>
              <w:spacing w:line="360" w:lineRule="auto"/>
              <w:ind w:left="0" w:right="0" w:firstLine="493"/>
            </w:pPr>
            <w:r>
              <w:rPr>
                <w:rFonts w:ascii="Cambria" w:hAnsi="Cambria"/>
                <w:b w:val="false"/>
                <w:sz w:val="24"/>
              </w:rPr>
              <w:t>Ib)Pentru solicitanții PFA, II și IF, se verifică înDeclarația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pPr>
              <w:spacing w:line="360" w:lineRule="auto"/>
              <w:ind w:left="0" w:right="0" w:firstLine="493"/>
            </w:pPr>
            <w:r>
              <w:rPr>
                <w:rFonts w:ascii="Cambria" w:hAnsi="Cambria"/>
                <w:b w:val="false"/>
                <w:sz w:val="24"/>
              </w:rPr>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pPr>
              <w:spacing w:line="360" w:lineRule="auto"/>
              <w:ind w:left="0" w:right="0" w:firstLine="493"/>
            </w:pPr>
            <w:r>
              <w:rPr>
                <w:rFonts w:ascii="Cambria" w:hAnsi="Cambria"/>
                <w:b w:val="false"/>
                <w:sz w:val="24"/>
              </w:rPr>
              <w:t>Nu se va lua in calcul </w:t>
            </w:r>
            <w:r>
              <w:rPr>
                <w:rFonts w:ascii="Cambria Bold" w:hAnsi="Cambria Bold"/>
                <w:b/>
                <w:sz w:val="24"/>
              </w:rPr>
              <w:t>anul infiinţării</w:t>
            </w:r>
            <w:r>
              <w:rPr>
                <w:rFonts w:ascii="Cambria" w:hAnsi="Cambria"/>
                <w:b w:val="false"/>
                <w:sz w:val="24"/>
              </w:rPr>
              <w:t> in care rezultatul poate fi negativ, situaţie în care condiţia pentru verificarea rezultatului financiar se va considera indeplinită.</w:t>
            </w:r>
          </w:p>
          <w:p>
            <w:pPr>
              <w:spacing w:line="360" w:lineRule="auto"/>
              <w:ind w:left="0" w:right="0" w:firstLine="493"/>
            </w:pPr>
            <w:r>
              <w:rPr>
                <w:rFonts w:ascii="Cambria Bold" w:hAnsi="Cambria Bold"/>
                <w:b/>
                <w:sz w:val="24"/>
              </w:rPr>
              <w:t>Declaraţia de inactivitate </w:t>
            </w:r>
            <w:r>
              <w:rPr>
                <w:rFonts w:ascii="Cambria" w:hAnsi="Cambria"/>
                <w:b w:val="false"/>
                <w:sz w:val="24"/>
              </w:rPr>
              <w:t>înregistrată la Administraţia Financiară, în</w:t>
            </w:r>
            <w:r>
              <w:rPr>
                <w:rFonts w:ascii="Cambria Bold" w:hAnsi="Cambria Bold"/>
                <w:b/>
                <w:sz w:val="24"/>
              </w:rPr>
              <w:t> </w:t>
            </w:r>
            <w:r>
              <w:rPr>
                <w:rFonts w:ascii="Cambria" w:hAnsi="Cambria"/>
                <w:b w:val="false"/>
                <w:sz w:val="24"/>
              </w:rPr>
              <w:t>cazul solicitanţilor care nu au desfăşurat activitate anterior depunerii proiectului.</w:t>
            </w:r>
          </w:p>
          <w:p>
            <w:pPr>
              <w:spacing w:line="360" w:lineRule="auto"/>
              <w:ind w:left="0" w:right="0" w:firstLine="493"/>
            </w:pPr>
            <w:r>
              <w:rPr>
                <w:rFonts w:ascii="Cambria" w:hAnsi="Cambria"/>
                <w:b w:val="false"/>
                <w:sz w:val="24"/>
                <w:u w:val="single"/>
              </w:rPr>
              <w:t>Studiul de fezabilitate -</w:t>
            </w:r>
            <w:r>
              <w:rPr>
                <w:rFonts w:ascii="Cambria" w:hAnsi="Cambria"/>
                <w:b w:val="false"/>
                <w:sz w:val="24"/>
                <w:u w:val="single"/>
              </w:rPr>
              <w:t>privind viabilitatea </w:t>
            </w:r>
            <w:r>
              <w:rPr>
                <w:rFonts w:ascii="Cambria" w:hAnsi="Cambria"/>
                <w:b w:val="false"/>
                <w:sz w:val="24"/>
                <w:u w:val="single"/>
              </w:rPr>
              <w:t>economico-financiare a proiectului</w:t>
            </w:r>
            <w:r>
              <w:rPr>
                <w:rFonts w:ascii="Cambria" w:hAnsi="Cambria"/>
                <w:b w:val="false"/>
                <w:sz w:val="24"/>
              </w:rPr>
              <w:t>.</w:t>
            </w:r>
          </w:p>
          <w:p>
            <w:pPr>
              <w:spacing w:line="360" w:lineRule="auto"/>
              <w:ind w:left="0" w:right="0" w:firstLine="493"/>
            </w:pPr>
            <w:r>
              <w:rPr>
                <w:rFonts w:ascii="Cambria" w:hAnsi="Cambria"/>
                <w:b w:val="false"/>
                <w:sz w:val="24"/>
              </w:rPr>
              <w:t>Se verifică indicatorii economico-financiari din cadrul secţiunii economice să se încadreze în limitele menţionate, începand cu anul in care se finalizează investiţia şi se obţine/ obţin producţie/ venituri conform tehnologiilor de producţie .</w:t>
            </w:r>
          </w:p>
          <w:p>
            <w:pPr>
              <w:spacing w:line="360" w:lineRule="auto"/>
              <w:ind w:left="0" w:right="0" w:firstLine="493"/>
            </w:pPr>
            <w:r>
              <w:rPr>
                <w:rFonts w:ascii="Cambria" w:hAnsi="Cambria"/>
                <w:b w:val="false"/>
                <w:sz w:val="24"/>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pPr>
              <w:spacing w:line="360" w:lineRule="auto"/>
              <w:ind w:left="0" w:right="0" w:firstLine="493"/>
            </w:pPr>
            <w:r>
              <w:rPr>
                <w:rFonts w:ascii="Cambria" w:hAnsi="Cambria"/>
                <w:b w:val="false"/>
                <w:sz w:val="24"/>
                <w:u w:val="single"/>
              </w:rPr>
              <w:t>Matricea de evaluare a viabilităţii economice a proiectului pentru Anexa B (persoane juridice):</w:t>
            </w:r>
          </w:p>
          <w:p>
            <w:pPr>
              <w:spacing w:line="360" w:lineRule="auto"/>
              <w:ind w:left="0" w:right="0" w:firstLine="493"/>
            </w:pPr>
            <w:r>
              <w:rPr>
                <w:rFonts w:ascii="Cambria" w:hAnsi="Cambria"/>
                <w:b w:val="false"/>
                <w:sz w:val="24"/>
              </w:rPr>
              <w:t>Verificarea indicatorilor economico-financiari constă în verificarea încadrării acestora în limitele menţionate în coloana 3 a matricei de mai jos. Limitele impuse se referă la urmatorii indicatori: </w:t>
            </w:r>
          </w:p>
          <w:p>
            <w:pPr>
              <w:spacing w:line="360" w:lineRule="auto"/>
              <w:ind w:left="0" w:right="0" w:firstLine="493"/>
            </w:pPr>
            <w:r>
              <w:rPr>
                <w:rFonts w:ascii="Cambria" w:hAnsi="Cambria"/>
                <w:b w:val="false"/>
                <w:sz w:val="24"/>
                <w:lang w:val="it"/>
              </w:rPr>
              <w:t>-       </w:t>
            </w:r>
            <w:r>
              <w:rPr>
                <w:rFonts w:ascii="Cambria" w:hAnsi="Cambria"/>
                <w:b w:val="false"/>
                <w:sz w:val="24"/>
              </w:rPr>
              <w:t>Rata rezultatului din exploatare,</w:t>
            </w:r>
          </w:p>
          <w:p>
            <w:pPr>
              <w:spacing w:line="360" w:lineRule="auto"/>
              <w:ind w:left="0" w:right="0" w:firstLine="493"/>
            </w:pPr>
            <w:r>
              <w:rPr>
                <w:rFonts w:ascii="Cambria" w:hAnsi="Cambria"/>
                <w:b w:val="false"/>
                <w:sz w:val="24"/>
                <w:lang w:val="it"/>
              </w:rPr>
              <w:t>-       </w:t>
            </w:r>
            <w:r>
              <w:rPr>
                <w:rFonts w:ascii="Cambria" w:hAnsi="Cambria"/>
                <w:b w:val="false"/>
                <w:sz w:val="24"/>
              </w:rPr>
              <w:t>Durata de recuperare a investiţiei,</w:t>
            </w:r>
          </w:p>
          <w:p>
            <w:pPr>
              <w:spacing w:line="360" w:lineRule="auto"/>
              <w:ind w:left="0" w:right="0" w:firstLine="493"/>
            </w:pPr>
            <w:r>
              <w:rPr>
                <w:rFonts w:ascii="Cambria" w:hAnsi="Cambria"/>
                <w:b w:val="false"/>
                <w:sz w:val="24"/>
                <w:lang w:val="it"/>
              </w:rPr>
              <w:t>-       </w:t>
            </w:r>
            <w:r>
              <w:rPr>
                <w:rFonts w:ascii="Cambria" w:hAnsi="Cambria"/>
                <w:b w:val="false"/>
                <w:sz w:val="24"/>
              </w:rPr>
              <w:t>Rata rentabilitătii capitalului investit,</w:t>
            </w:r>
          </w:p>
          <w:p>
            <w:pPr>
              <w:spacing w:line="360" w:lineRule="auto"/>
              <w:ind w:left="0" w:right="0" w:firstLine="493"/>
            </w:pPr>
            <w:r>
              <w:rPr>
                <w:rFonts w:ascii="Cambria" w:hAnsi="Cambria"/>
                <w:b w:val="false"/>
                <w:sz w:val="24"/>
                <w:lang w:val="pt"/>
              </w:rPr>
              <w:t>-       </w:t>
            </w:r>
            <w:r>
              <w:rPr>
                <w:rFonts w:ascii="Cambria" w:hAnsi="Cambria"/>
                <w:b w:val="false"/>
                <w:sz w:val="24"/>
              </w:rPr>
              <w:t>Rata acoperirii prin fluxul de numerar,</w:t>
            </w:r>
          </w:p>
          <w:p>
            <w:pPr>
              <w:spacing w:line="360" w:lineRule="auto"/>
              <w:ind w:left="0" w:right="0" w:firstLine="493"/>
            </w:pPr>
            <w:r>
              <w:rPr>
                <w:rFonts w:ascii="Cambria" w:hAnsi="Cambria"/>
                <w:b w:val="false"/>
                <w:sz w:val="24"/>
                <w:lang w:val="it"/>
              </w:rPr>
              <w:t>-       </w:t>
            </w:r>
            <w:r>
              <w:rPr>
                <w:rFonts w:ascii="Cambria" w:hAnsi="Cambria"/>
                <w:b w:val="false"/>
                <w:sz w:val="24"/>
              </w:rPr>
              <w:t>Rata îndatorării,</w:t>
            </w:r>
          </w:p>
          <w:p>
            <w:pPr>
              <w:spacing w:line="360" w:lineRule="auto"/>
              <w:ind w:left="0" w:right="0" w:firstLine="493"/>
            </w:pPr>
            <w:r>
              <w:rPr>
                <w:rFonts w:ascii="Cambria" w:hAnsi="Cambria"/>
                <w:b w:val="false"/>
                <w:sz w:val="24"/>
                <w:lang w:val="it"/>
              </w:rPr>
              <w:t>-       </w:t>
            </w:r>
            <w:r>
              <w:rPr>
                <w:rFonts w:ascii="Cambria" w:hAnsi="Cambria"/>
                <w:b w:val="false"/>
                <w:sz w:val="24"/>
              </w:rPr>
              <w:t>Valoarea actualizată netă (VAN),</w:t>
            </w:r>
          </w:p>
          <w:p>
            <w:pPr>
              <w:spacing w:line="360" w:lineRule="auto"/>
              <w:ind w:left="0" w:right="0" w:firstLine="493"/>
            </w:pPr>
            <w:r>
              <w:rPr>
                <w:rFonts w:ascii="Cambria" w:hAnsi="Cambria"/>
                <w:b w:val="false"/>
                <w:sz w:val="24"/>
                <w:lang w:val="it"/>
              </w:rPr>
              <w:t>-       </w:t>
            </w:r>
            <w:r>
              <w:rPr>
                <w:rFonts w:ascii="Cambria" w:hAnsi="Cambria"/>
                <w:b w:val="false"/>
                <w:sz w:val="24"/>
              </w:rPr>
              <w:t>Disponibil de numerar curent.</w:t>
            </w:r>
          </w:p>
          <w:p>
            <w:pPr>
              <w:spacing w:line="360" w:lineRule="auto"/>
              <w:ind w:left="0" w:right="0" w:firstLine="493"/>
            </w:pPr>
            <w:r>
              <w:rPr>
                <w:rFonts w:ascii="Cambria" w:hAnsi="Cambria"/>
                <w:b w:val="false"/>
                <w:sz w:val="24"/>
              </w:rPr>
              <w:t>Acei indicatori pentru care nu sunt stabilite limite maxime sau minime de variaţie au menţiunea “N/A”.</w:t>
            </w:r>
          </w:p>
          <w:p>
            <w:pPr>
              <w:spacing w:line="360" w:lineRule="auto"/>
              <w:ind w:left="0" w:right="0" w:firstLine="493"/>
            </w:pPr>
            <w:r>
              <w:rPr>
                <w:rFonts w:ascii="Cambria" w:hAnsi="Cambria"/>
                <w:b w:val="false"/>
                <w:sz w:val="24"/>
              </w:rPr>
              <w:t>Respectarea încadrării indicatorilor în limitele admisibile prin program se face în mod automat în coloana 11 a matricei de verificare prin apariţia mesajului “Respectă criteriul” pentru fiecare din indicatorii mentionaţi mai sus.</w:t>
            </w:r>
          </w:p>
          <w:p>
            <w:pPr>
              <w:spacing w:line="360" w:lineRule="auto"/>
              <w:ind w:left="0" w:right="0" w:firstLine="493"/>
            </w:pPr>
            <w:r>
              <w:rPr>
                <w:rFonts w:ascii="Cambria" w:hAnsi="Cambria"/>
                <w:b w:val="false"/>
                <w:sz w:val="24"/>
              </w:rPr>
              <w:t>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w:t>
            </w:r>
          </w:p>
          <w:p>
            <w:pPr>
              <w:spacing w:line="360" w:lineRule="auto"/>
              <w:ind w:left="0" w:right="0" w:firstLine="493"/>
            </w:pPr>
            <w:r>
              <w:rPr>
                <w:rFonts w:ascii="Cambria" w:hAnsi="Cambria"/>
                <w:b w:val="false"/>
                <w:sz w:val="24"/>
              </w:rPr>
              <w:t>Dacă  indicatorii se încadrează în limitele menţionate şi rezultatul operaţional din bilanţ este pozitiv, expertul bifează caseta DA corespunzatoare acestui criteriu de eligibilitate.</w:t>
            </w:r>
          </w:p>
          <w:p>
            <w:pPr>
              <w:spacing w:line="360" w:lineRule="auto"/>
              <w:ind w:left="0" w:right="0" w:firstLine="493"/>
            </w:pPr>
            <w:r>
              <w:rPr>
                <w:rFonts w:ascii="Cambria" w:hAnsi="Cambria"/>
                <w:b w:val="false"/>
                <w:sz w:val="24"/>
                <w:u w:val="single"/>
              </w:rPr>
              <w:t>Matricea de evaluare a viabilităţii economice a proiectului pentru Anexa C (persoane fizice autorizate, întreprinderi individuale, întreprinderi familiale):</w:t>
            </w:r>
          </w:p>
          <w:p>
            <w:pPr>
              <w:spacing w:line="360" w:lineRule="auto"/>
              <w:ind w:left="0" w:right="0" w:firstLine="493"/>
            </w:pPr>
            <w:r>
              <w:rPr>
                <w:rFonts w:ascii="Cambria" w:hAnsi="Cambria"/>
                <w:b w:val="false"/>
                <w:sz w:val="24"/>
              </w:rPr>
              <w:t>Verificarea indicatorilor economico-financiari constă în verificarea încadrării acestora în limitele menţionate în coloana 3 a matricei de verificare. Limitele impuse se referă la următorii indicatori:</w:t>
            </w:r>
          </w:p>
          <w:p>
            <w:pPr>
              <w:spacing w:line="360" w:lineRule="auto"/>
              <w:ind w:left="0" w:right="0" w:firstLine="493"/>
            </w:pPr>
            <w:r>
              <w:rPr>
                <w:rFonts w:ascii="Cambria" w:hAnsi="Cambria"/>
                <w:b w:val="false"/>
                <w:sz w:val="24"/>
                <w:lang w:val="it"/>
              </w:rPr>
              <w:t>-       </w:t>
            </w:r>
            <w:r>
              <w:rPr>
                <w:rFonts w:ascii="Cambria" w:hAnsi="Cambria"/>
                <w:b w:val="false"/>
                <w:sz w:val="24"/>
              </w:rPr>
              <w:t>Durata de recuperare a investiţiei</w:t>
            </w:r>
          </w:p>
          <w:p>
            <w:pPr>
              <w:spacing w:line="360" w:lineRule="auto"/>
              <w:ind w:left="0" w:right="0" w:firstLine="493"/>
            </w:pPr>
            <w:r>
              <w:rPr>
                <w:rFonts w:ascii="Cambria" w:hAnsi="Cambria"/>
                <w:b w:val="false"/>
                <w:sz w:val="24"/>
                <w:lang w:val="pt"/>
              </w:rPr>
              <w:t>-       </w:t>
            </w:r>
            <w:r>
              <w:rPr>
                <w:rFonts w:ascii="Cambria" w:hAnsi="Cambria"/>
                <w:b w:val="false"/>
                <w:sz w:val="24"/>
              </w:rPr>
              <w:t>Rata acoperirii prin fluxul de numerar</w:t>
            </w:r>
          </w:p>
          <w:p>
            <w:pPr>
              <w:spacing w:line="360" w:lineRule="auto"/>
              <w:ind w:left="0" w:right="0" w:firstLine="493"/>
            </w:pPr>
            <w:r>
              <w:rPr>
                <w:rFonts w:ascii="Cambria" w:hAnsi="Cambria"/>
                <w:b w:val="false"/>
                <w:sz w:val="24"/>
                <w:lang w:val="it"/>
              </w:rPr>
              <w:t>-       </w:t>
            </w:r>
            <w:r>
              <w:rPr>
                <w:rFonts w:ascii="Cambria" w:hAnsi="Cambria"/>
                <w:b w:val="false"/>
                <w:sz w:val="24"/>
              </w:rPr>
              <w:t>Valoarea actualizată neta (VAN)</w:t>
            </w:r>
          </w:p>
          <w:p>
            <w:pPr>
              <w:spacing w:line="360" w:lineRule="auto"/>
              <w:ind w:left="0" w:right="0" w:firstLine="493"/>
            </w:pPr>
            <w:r>
              <w:rPr>
                <w:rFonts w:ascii="Cambria" w:hAnsi="Cambria"/>
                <w:b w:val="false"/>
                <w:sz w:val="24"/>
                <w:lang w:val="it"/>
              </w:rPr>
              <w:t>-       </w:t>
            </w:r>
            <w:r>
              <w:rPr>
                <w:rFonts w:ascii="Cambria" w:hAnsi="Cambria"/>
                <w:b w:val="false"/>
                <w:sz w:val="24"/>
              </w:rPr>
              <w:t>Disponibil de numerar la sfârşitul perioadei</w:t>
            </w:r>
          </w:p>
          <w:p>
            <w:pPr>
              <w:spacing w:line="360" w:lineRule="auto"/>
              <w:ind w:left="0" w:right="0" w:firstLine="493"/>
            </w:pPr>
            <w:r>
              <w:rPr>
                <w:rFonts w:ascii="Cambria" w:hAnsi="Cambria"/>
                <w:b w:val="false"/>
                <w:sz w:val="24"/>
              </w:rPr>
              <w:t>Acei indicatori pentru care nu sunt stabilite limite maxime sau minime de variaţie au menţiunea “N/A”.</w:t>
            </w:r>
          </w:p>
          <w:p>
            <w:pPr>
              <w:spacing w:line="360" w:lineRule="auto"/>
              <w:ind w:left="0" w:right="0" w:firstLine="493"/>
            </w:pPr>
            <w:r>
              <w:rPr>
                <w:rFonts w:ascii="Cambria" w:hAnsi="Cambria"/>
                <w:b w:val="false"/>
                <w:sz w:val="24"/>
              </w:rPr>
              <w:t>Respectarea încadrării indicatorilor în limitele admisibile prin program se face în mod automat în coloana 11 a matricei de verificare prin apariţia mesajului “Respectă criteriul” pentru fiecare din indicatorii mentionaţi mai sus.</w:t>
            </w:r>
          </w:p>
          <w:p>
            <w:pPr>
              <w:spacing w:line="360" w:lineRule="auto"/>
              <w:ind w:left="0" w:right="0" w:firstLine="493"/>
            </w:pPr>
            <w:r>
              <w:rPr>
                <w:rFonts w:ascii="Cambria" w:hAnsi="Cambria"/>
                <w:b w:val="false"/>
                <w:sz w:val="24"/>
              </w:rPr>
              <w:t>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pPr>
              <w:spacing w:line="360" w:lineRule="auto"/>
              <w:ind w:left="0" w:right="0" w:firstLine="493"/>
            </w:pPr>
            <w:r>
              <w:rPr>
                <w:rFonts w:ascii="Cambria" w:hAnsi="Cambria"/>
                <w:b w:val="false"/>
                <w:color w:val="000000"/>
                <w:sz w:val="24"/>
              </w:rPr>
              <w:t>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w:t>
            </w:r>
          </w:p>
          <w:p>
            <w:pPr>
              <w:spacing w:line="360" w:lineRule="auto"/>
              <w:ind w:left="0" w:right="0" w:firstLine="493"/>
            </w:pPr>
            <w:r>
              <w:rPr>
                <w:rFonts w:ascii="Cambria" w:hAnsi="Cambria"/>
                <w:b w:val="false"/>
                <w:color w:val="000000"/>
                <w:sz w:val="24"/>
              </w:rPr>
              <w:t>Totodată se verifică dacă există neconcordanţe intre cheltuielile propuse in SF/ MJ/ DALI în raport cu nevoile reale ale investiţiei.</w:t>
            </w:r>
          </w:p>
          <w:p>
            <w:pPr>
              <w:spacing w:line="360" w:lineRule="auto"/>
              <w:ind w:left="0" w:right="0" w:firstLine="493"/>
            </w:pPr>
            <w:r>
              <w:rPr>
                <w:rFonts w:ascii="Cambria" w:hAnsi="Cambria"/>
                <w:b w:val="false"/>
                <w:color w:val="000000"/>
                <w:sz w:val="24"/>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pPr>
              <w:spacing w:line="360" w:lineRule="auto"/>
              <w:ind w:left="0" w:right="0" w:firstLine="493"/>
            </w:pPr>
            <w:r>
              <w:rPr>
                <w:rFonts w:ascii="Cambria" w:hAnsi="Cambria"/>
                <w:b w:val="false"/>
                <w:sz w:val="24"/>
              </w:rPr>
              <w:t>Dacă indicatorii conform matricei de viabilitate se încadrează în limitele menţionate şi rezultatul din situaţiile financiare (cpp şi declaratia 200) este pozitiv, expertul bifează caseta DA corespunzătoare acestei condiţii minime.</w:t>
            </w:r>
          </w:p>
          <w:p>
            <w:pPr>
              <w:spacing w:line="360" w:lineRule="auto"/>
              <w:ind w:left="0" w:right="0" w:firstLine="493"/>
            </w:pPr>
            <w:r>
              <w:rPr>
                <w:rFonts w:ascii="Cambria" w:hAnsi="Cambria"/>
                <w:b w:val="false"/>
                <w:sz w:val="24"/>
              </w:rPr>
              <w:t>Se corelează informaţiile din previziuni cu cele din SF/ MJ referitoare la tipul şi capacitatea de producţie.</w:t>
            </w:r>
          </w:p>
          <w:p>
            <w:pPr>
              <w:spacing w:line="360" w:lineRule="auto"/>
              <w:ind w:left="0" w:right="0" w:firstLine="493"/>
            </w:pPr>
            <w:r>
              <w:rPr>
                <w:rFonts w:ascii="Cambria" w:hAnsi="Cambria"/>
                <w:b w:val="false"/>
                <w:sz w:val="24"/>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Codul CAEN pentru care solicită finanţare este eligibil în cadrul apelului de proiecte;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dacă codul CAEN este cuprins în Anexa 13 - Lista codurilorCAEN aferente activitatiilor neagricole eligibile;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Solicitantul se angajează să asigure întreținerea/mentenanța investiției pe o perioadă de minim 3 ani (5 ani pentru proiectele care prevad Constructii+Montaj), de la 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NECESARE VERIFICĂRII</w:t>
            </w:r>
          </w:p>
          <w:p>
            <w:pPr>
              <w:spacing w:line="360" w:lineRule="auto"/>
              <w:ind w:left="0" w:right="0" w:firstLine="493"/>
            </w:pPr>
            <w:r>
              <w:rPr>
                <w:rFonts w:ascii="Cambria" w:hAnsi="Cambria"/>
                <w:b w:val="false"/>
                <w:sz w:val="24"/>
              </w:rPr>
              <w:t>1. SF / DALI / PT / MJ / CF – declaratia pe propria răspundere a solicitantului.</w:t>
            </w:r>
          </w:p>
          <w:p>
            <w:pPr>
              <w:spacing w:line="360" w:lineRule="auto"/>
              <w:ind w:left="0" w:right="0" w:firstLine="493"/>
            </w:pPr>
            <w:r>
              <w:rPr>
                <w:rFonts w:ascii="Cambria" w:hAnsi="Cambria"/>
                <w:b w:val="false"/>
                <w:sz w:val="24"/>
              </w:rPr>
              <w:t>Angajatul GAL (expertul cooptat dupa caz) verifică în baza informaţiilor din documentele de mai sus, dacă solicitantul se angajeaza ca va asigurara mentenanța investitiei/ investițiilor pe toată durata de implementare si monitorizare a proiectului: </w:t>
            </w:r>
          </w:p>
          <w:p>
            <w:pPr>
              <w:pStyle w:val="ListParagraph"/>
              <w:numPr>
                <w:ilvl w:val="0"/>
                <w:numId w:val="3"/>
              </w:numPr>
            </w:pPr>
            <w:r>
              <w:rPr>
                <w:rFonts w:ascii="Cambria" w:hAnsi="Cambria"/>
                <w:b w:val="false"/>
                <w:sz w:val="24"/>
              </w:rPr>
              <w:t>3 ani pentru proiectele de dotări și / sau echipamente</w:t>
            </w:r>
          </w:p>
          <w:p>
            <w:pPr>
              <w:pStyle w:val="ListParagraph"/>
              <w:numPr>
                <w:ilvl w:val="0"/>
                <w:numId w:val="3"/>
              </w:numPr>
            </w:pPr>
            <w:r>
              <w:rPr>
                <w:rFonts w:ascii="Cambria" w:hAnsi="Cambria"/>
                <w:b w:val="false"/>
                <w:sz w:val="24"/>
              </w:rPr>
              <w:t>5 ani pentru proiectele care prevăd Constructii+Montaj</w:t>
            </w:r>
          </w:p>
          <w:p>
            <w:r>
              <w:rPr>
                <w:rFonts w:ascii="Cambria" w:hAnsi="Cambria"/>
                <w:b w:val="false"/>
                <w:sz w:val="24"/>
              </w:rPr>
              <w:t>Dacă verificarea documentelor confirmă faptul că solicitantul se angajează că va asigurara mentenanța investiiției/ investițiilor pe toată durata de implementare și monitorizare a proiectului, se va bifa caseta “da” pentru verificare. În caz contrar, angajatul GAL (expertul cooptat dupa caz) bifează casuţa din coloana NU şi motivează poziţia în rubrica „Observaţii”, criteriul de eligibilitate nefiind îndeplinit.</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creării de noi locuri de muncă;</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1 loc de muncă creat</w:t>
            </w:r>
          </w:p>
        </w:tc>
        <w:tc>
          <w:tcPr>
            <w:vAlign w:val="center"/>
          </w:tcPr>
          <w:p>
            <w:pPr>
              <w:keepNext/>
              <w:jc w:val="center"/>
            </w:pPr>
            <w:r>
              <w:rPr>
                <w:rFonts w:ascii="Cambria" w:hAnsi="Cambria"/>
                <w:b w:val="false"/>
                <w:sz w:val="24"/>
              </w:rPr>
              <w:t>         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w:t>
            </w:r>
          </w:p>
          <w:p>
            <w:pPr>
              <w:pStyle w:val="ListParagraph"/>
              <w:numPr>
                <w:ilvl w:val="0"/>
                <w:numId w:val="3"/>
              </w:numPr>
            </w:pPr>
            <w:r>
              <w:rPr>
                <w:rFonts w:ascii="Cambria" w:hAnsi="Cambria"/>
                <w:b w:val="false"/>
                <w:sz w:val="24"/>
              </w:rPr>
              <w:t>Cererea de finanțare;</w:t>
            </w:r>
          </w:p>
          <w:p>
            <w:pPr>
              <w:pStyle w:val="ListParagraph"/>
              <w:numPr>
                <w:ilvl w:val="0"/>
                <w:numId w:val="3"/>
              </w:numPr>
            </w:pPr>
            <w:r>
              <w:rPr>
                <w:rFonts w:ascii="Cambria" w:hAnsi="Cambria"/>
                <w:b w:val="false"/>
                <w:sz w:val="24"/>
              </w:rPr>
              <w:t>Studiu de fezabilitate.</w:t>
            </w:r>
          </w:p>
          <w:p>
            <w:pPr>
              <w:spacing w:line="360" w:lineRule="auto"/>
              <w:ind w:left="0" w:right="0" w:firstLine="493"/>
            </w:pPr>
            <w:r>
              <w:rPr>
                <w:rFonts w:ascii="Cambria" w:hAnsi="Cambria"/>
                <w:b w:val="false"/>
                <w:sz w:val="24"/>
              </w:rPr>
              <w:t>Se verifică dacă solicitantul a prevăzut crearea unui loc de muncă cu normă întreagă ce se va menține pe toată durata de implementare și monitorizare a proiectului. Dacă DA, expertul acordă 20 puncte; dacă NU, nu se acordă punctaj.</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mai mult de 1 loc de muncă creat</w:t>
            </w:r>
          </w:p>
        </w:tc>
        <w:tc>
          <w:tcPr>
            <w:vAlign w:val="center"/>
          </w:tcPr>
          <w:p>
            <w:pPr>
              <w:keepNext/>
              <w:jc w:val="center"/>
            </w:pPr>
            <w:r>
              <w:rPr>
                <w:rFonts w:ascii="Cambria" w:hAnsi="Cambria"/>
                <w:b w:val="false"/>
                <w:sz w:val="24"/>
              </w:rPr>
              <w:t>         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w:t>
            </w:r>
          </w:p>
          <w:p>
            <w:pPr>
              <w:pStyle w:val="ListParagraph"/>
              <w:numPr>
                <w:ilvl w:val="0"/>
                <w:numId w:val="3"/>
              </w:numPr>
            </w:pPr>
            <w:r>
              <w:rPr>
                <w:rFonts w:ascii="Cambria" w:hAnsi="Cambria"/>
                <w:b w:val="false"/>
                <w:sz w:val="24"/>
              </w:rPr>
              <w:t>Cererea de finanțare;</w:t>
            </w:r>
          </w:p>
          <w:p>
            <w:pPr>
              <w:pStyle w:val="ListParagraph"/>
              <w:numPr>
                <w:ilvl w:val="0"/>
                <w:numId w:val="3"/>
              </w:numPr>
            </w:pPr>
            <w:r>
              <w:rPr>
                <w:rFonts w:ascii="Cambria" w:hAnsi="Cambria"/>
                <w:b w:val="false"/>
                <w:sz w:val="24"/>
              </w:rPr>
              <w:t>Studiu de fezabilitate.</w:t>
            </w:r>
          </w:p>
          <w:p>
            <w:pPr>
              <w:spacing w:line="360" w:lineRule="auto"/>
              <w:ind w:left="0" w:right="0" w:firstLine="493"/>
            </w:pPr>
            <w:r>
              <w:rPr>
                <w:rFonts w:ascii="Cambria" w:hAnsi="Cambria"/>
                <w:b w:val="false"/>
                <w:sz w:val="24"/>
              </w:rPr>
              <w:t>Se verifică dacă solicitantul a prevăzut crearea a mai mult de un loc de muncă cu normă întreagă ce se va menține pe toată durata de implementare și monitorizare a proiectului. Dacă DA, expertul acordă 30 puncte; dacă NU, nu se acordă punctaj.</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prioritizării proiectelor care prevăd investiții inovatoare;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w:t>
            </w:r>
          </w:p>
        </w:tc>
        <w:tc>
          <w:tcPr>
            <w:shd w:val="clear" w:color="auto" w:fill="F8ECD2"/>
            <w:vAlign w:val="center"/>
          </w:tcPr>
          <w:p>
            <w:r>
              <w:rPr>
                <w:rFonts w:ascii="Cambria" w:hAnsi="Cambria"/>
                <w:b w:val="false"/>
                <w:color w:val="58400C"/>
                <w:sz w:val="24"/>
              </w:rPr>
              <w:t>Proiecte care prevăd investiții inovatoare</w:t>
            </w:r>
          </w:p>
        </w:tc>
        <w:tc>
          <w:tcPr>
            <w:vAlign w:val="center"/>
          </w:tcPr>
          <w:p>
            <w:pPr>
              <w:keepNext/>
              <w:jc w:val="center"/>
            </w:pPr>
            <w:r>
              <w:rPr>
                <w:rFonts w:ascii="Cambria" w:hAnsi="Cambria"/>
                <w:b w:val="false"/>
                <w:sz w:val="24"/>
              </w:rPr>
              <w:t>         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Expertul verifica informațiile conținute în documentele proiectului. În cazul în care identifică în cadrul acțiunilor propuse prin proiect activități cum ar fi dezvoltarea unei idei, produs, tehnologie inovatoare, echipamente TIC etc, expertul acordă 20 puncte; dacă NU, nu se acordă punctaj.</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prioritizării proiectelor care propun activități recreaționale;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w:t>
            </w:r>
          </w:p>
        </w:tc>
        <w:tc>
          <w:tcPr>
            <w:shd w:val="clear" w:color="auto" w:fill="F8ECD2"/>
            <w:vAlign w:val="center"/>
          </w:tcPr>
          <w:p>
            <w:r>
              <w:rPr>
                <w:rFonts w:ascii="Cambria" w:hAnsi="Cambria"/>
                <w:b w:val="false"/>
                <w:color w:val="58400C"/>
                <w:sz w:val="24"/>
              </w:rPr>
              <w:t>Proiecte care propun activități recreaționale </w:t>
            </w:r>
          </w:p>
        </w:tc>
        <w:tc>
          <w:tcPr>
            <w:vAlign w:val="center"/>
          </w:tcPr>
          <w:p>
            <w:pPr>
              <w:keepNext/>
              <w:spacing w:line="360" w:lineRule="auto"/>
              <w:ind w:left="0" w:right="0" w:firstLine="493"/>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verifica informațiile conținute în documentele proiectului și în cazul în care identifică în cadrul acțiunilor propuse prin proiect activități recreaționale după cum urmează: Activități recreaționale în aer liber:</w:t>
            </w:r>
          </w:p>
          <w:p>
            <w:pPr>
              <w:spacing w:line="360" w:lineRule="auto"/>
              <w:ind w:left="0" w:right="0" w:firstLine="493"/>
            </w:pPr>
            <w:r>
              <w:rPr>
                <w:rFonts w:ascii="Cambria" w:hAnsi="Cambria"/>
                <w:b w:val="false"/>
                <w:sz w:val="24"/>
              </w:rPr>
              <w:t>- Drumeții / trekking  - Ciclism montan  - Călărie  - Plimbări cu căruța / trăsura  - Observarea faunei / birdwatching  - Picnicuri organizate  - Tiroliană, parc de aventură  - Camping sau glamping  - Jocuri tradiționale în natură  - Plimbări cu barca / caiacul, Plimbări cu biciclete / ATV, Ture ecvestre, etc</w:t>
            </w:r>
          </w:p>
          <w:p>
            <w:pPr>
              <w:spacing w:line="360" w:lineRule="auto"/>
              <w:ind w:left="0" w:right="0" w:firstLine="493"/>
            </w:pPr>
            <w:r>
              <w:rPr>
                <w:rFonts w:ascii="Cambria" w:hAnsi="Cambria"/>
                <w:b w:val="false"/>
                <w:sz w:val="24"/>
              </w:rPr>
              <w:t>Activități recreaționale în spații amenajate: - Ateliere de meșteșuguri (olărit, țesut, lemn)  - Cursuri de gătit local / degustări  - Seară cu muzică și dans tradițional  - Jocuri de societate / team building  - Activități creative pentru copii (pictură, teatru, storytelling), Activități educative despre sustenabilitate, reciclare, alimentație sănătoasă, etc</w:t>
            </w:r>
          </w:p>
          <w:p>
            <w:pPr>
              <w:spacing w:line="360" w:lineRule="auto"/>
              <w:ind w:left="0" w:right="0" w:firstLine="493"/>
            </w:pPr>
            <w:r>
              <w:rPr>
                <w:rFonts w:ascii="Cambria" w:hAnsi="Cambria"/>
                <w:b w:val="false"/>
                <w:sz w:val="24"/>
              </w:rPr>
              <w:t>Exemplele de mai sus nu au caracter exhaustiv</w:t>
            </w:r>
          </w:p>
          <w:p>
            <w:pPr>
              <w:spacing w:line="360" w:lineRule="auto"/>
              <w:ind w:left="0" w:right="0" w:firstLine="493"/>
            </w:pPr>
            <w:r>
              <w:rPr>
                <w:rFonts w:ascii="Cambria" w:hAnsi="Cambria"/>
                <w:b w:val="false"/>
                <w:sz w:val="24"/>
              </w:rPr>
              <w:t>expertul acordă 20 puncte; dacă NU, nu se acordă punctaj.</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Principiul prioritizării proiectelor care adoptă soluții de obținere a energiei din surse regenerabile.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w:t>
            </w:r>
          </w:p>
        </w:tc>
        <w:tc>
          <w:tcPr>
            <w:shd w:val="clear" w:color="auto" w:fill="F8ECD2"/>
            <w:vAlign w:val="center"/>
          </w:tcPr>
          <w:p>
            <w:r>
              <w:rPr>
                <w:rFonts w:ascii="Cambria" w:hAnsi="Cambria"/>
                <w:b w:val="false"/>
                <w:color w:val="58400C"/>
                <w:sz w:val="24"/>
              </w:rPr>
              <w:t>Proiecte care adoptă soluții de obținere a energiei din surse regenerabile.</w:t>
            </w:r>
          </w:p>
        </w:tc>
        <w:tc>
          <w:tcPr>
            <w:vAlign w:val="center"/>
          </w:tcPr>
          <w:p>
            <w:pPr>
              <w:keepNext/>
              <w:jc w:val="center"/>
            </w:pPr>
            <w:r>
              <w:rPr>
                <w:rFonts w:ascii="Cambria" w:hAnsi="Cambria"/>
                <w:b w:val="false"/>
                <w:sz w:val="24"/>
              </w:rPr>
              <w:t>         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verifica informatiile continute in documentele proiectului si in cazul in care identifica  </w:t>
            </w:r>
            <w:r>
              <w:rPr>
                <w:rFonts w:ascii="Cambria" w:hAnsi="Cambria"/>
                <w:b w:val="false"/>
                <w:sz w:val="24"/>
                <w:lang w:val="ro"/>
              </w:rPr>
              <w:t>cel puțin un obiectiv</w:t>
            </w:r>
            <w:r>
              <w:rPr>
                <w:rFonts w:ascii="Cambria" w:hAnsi="Cambria"/>
                <w:b w:val="false"/>
                <w:sz w:val="24"/>
              </w:rPr>
              <w:t>  prin care,</w:t>
            </w:r>
            <w:r>
              <w:rPr>
                <w:rFonts w:ascii="Cambria" w:hAnsi="Cambria"/>
                <w:b w:val="false"/>
                <w:sz w:val="24"/>
                <w:lang w:val="ro"/>
              </w:rPr>
              <w:t> pentru desfășurarea activității,  </w:t>
            </w:r>
            <w:r>
              <w:rPr>
                <w:rFonts w:ascii="Cambria" w:hAnsi="Cambria"/>
                <w:b w:val="false"/>
                <w:sz w:val="24"/>
              </w:rPr>
              <w:t>se  </w:t>
            </w:r>
            <w:r>
              <w:rPr>
                <w:rFonts w:ascii="Cambria" w:hAnsi="Cambria"/>
                <w:b w:val="false"/>
                <w:sz w:val="24"/>
                <w:lang w:val="ro"/>
              </w:rPr>
              <w:t>produce și  </w:t>
            </w:r>
            <w:r>
              <w:rPr>
                <w:rFonts w:ascii="Cambria" w:hAnsi="Cambria"/>
                <w:b w:val="false"/>
                <w:sz w:val="24"/>
              </w:rPr>
              <w:t>se  </w:t>
            </w:r>
            <w:r>
              <w:rPr>
                <w:rFonts w:ascii="Cambria" w:hAnsi="Cambria"/>
                <w:b w:val="false"/>
                <w:sz w:val="24"/>
                <w:lang w:val="ro"/>
              </w:rPr>
              <w:t>utiliz</w:t>
            </w:r>
            <w:r>
              <w:rPr>
                <w:rFonts w:ascii="Cambria" w:hAnsi="Cambria"/>
                <w:b w:val="false"/>
                <w:sz w:val="24"/>
              </w:rPr>
              <w:t>ează</w:t>
            </w:r>
            <w:r>
              <w:rPr>
                <w:rFonts w:ascii="Cambria" w:hAnsi="Cambria"/>
                <w:b w:val="false"/>
                <w:sz w:val="24"/>
                <w:lang w:val="ro"/>
              </w:rPr>
              <w:t> energie</w:t>
            </w:r>
            <w:r>
              <w:rPr>
                <w:rFonts w:ascii="Cambria" w:hAnsi="Cambria"/>
                <w:b w:val="false"/>
                <w:sz w:val="24"/>
                <w:lang w:val="ro"/>
              </w:rPr>
              <w:t> din surse regenerabile  </w:t>
            </w:r>
            <w:r>
              <w:rPr>
                <w:rFonts w:ascii="Cambria" w:hAnsi="Cambria"/>
                <w:b w:val="false"/>
                <w:sz w:val="24"/>
              </w:rPr>
              <w:t>se va acorda punctajul.</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Proiecte care încurajează diversificarea activității agricole către activități neagricole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w:t>
            </w:r>
          </w:p>
        </w:tc>
        <w:tc>
          <w:tcPr>
            <w:shd w:val="clear" w:color="auto" w:fill="F8ECD2"/>
            <w:vAlign w:val="center"/>
          </w:tcPr>
          <w:p>
            <w:r>
              <w:rPr>
                <w:rFonts w:ascii="Cambria" w:hAnsi="Cambria"/>
                <w:b w:val="false"/>
                <w:color w:val="58400C"/>
                <w:sz w:val="24"/>
              </w:rPr>
              <w:t>Proiecte care încurajează diversificarea activității agricole către activități neagricole </w:t>
            </w:r>
          </w:p>
        </w:tc>
        <w:tc>
          <w:tcPr>
            <w:vAlign w:val="center"/>
          </w:tcPr>
          <w:p>
            <w:pPr>
              <w:keepNext/>
              <w:jc w:val="center"/>
            </w:pPr>
            <w:r>
              <w:rPr>
                <w:rFonts w:ascii="Cambria" w:hAnsi="Cambria"/>
                <w:b w:val="false"/>
                <w:sz w:val="24"/>
              </w:rPr>
              <w:t>         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lang w:val="ro"/>
              </w:rPr>
              <w:t>Proiecte care sunt inițiate de un fermier (persoană neautorizată) membru al gospodăriei agricole/întreprindere existentă (cel puțin PFA) care a activat în agricultură, pe teritoriul  </w:t>
            </w:r>
            <w:r>
              <w:rPr>
                <w:rFonts w:ascii="Cambria" w:hAnsi="Cambria"/>
                <w:b w:val="false"/>
                <w:sz w:val="24"/>
                <w:lang w:val="ro"/>
              </w:rPr>
              <w:t>UAT-ului în care se va realiza proiectul sau în UAT-uri limitrofe acesteia,</w:t>
            </w:r>
            <w:r>
              <w:rPr>
                <w:rFonts w:ascii="Cambria" w:hAnsi="Cambria"/>
                <w:b w:val="false"/>
                <w:sz w:val="24"/>
                <w:lang w:val="ro"/>
              </w:rPr>
              <w:t>  minim 12 luni până la data depunerii Cererii de finanțare (fapt verificat în baza de date APIA / registrul ANSVSA / Registrul agricol / documente financiar contabile).</w:t>
            </w:r>
          </w:p>
          <w:p>
            <w:r>
              <w:rPr>
                <w:rFonts w:ascii="Cambria" w:hAnsi="Cambria"/>
                <w:b w:val="false"/>
                <w:sz w:val="24"/>
              </w:rPr>
              <w:t>6 TOTAL 100 PUNCTE   7 PRAG DE CALITATE (PUNCTAJ MINIM) 20 PUNCTE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pPr>
              <w:spacing w:line="360" w:lineRule="auto"/>
              <w:ind w:left="0" w:right="0" w:firstLine="493"/>
            </w:pPr>
            <w:r>
              <w:rPr>
                <w:rFonts w:ascii="Cambria" w:hAnsi="Cambria"/>
                <w:b w:val="false"/>
                <w:color w:val="58400C"/>
                <w:sz w:val="24"/>
              </w:rPr>
              <w:t>În cazul proiectelor</w:t>
            </w:r>
          </w:p>
          <w:p>
            <w:pPr>
              <w:spacing w:line="360" w:lineRule="auto"/>
              <w:ind w:left="0" w:right="0" w:firstLine="493"/>
            </w:pPr>
            <w:r>
              <w:rPr>
                <w:rFonts w:ascii="Cambria" w:hAnsi="Cambria"/>
                <w:b w:val="false"/>
                <w:color w:val="58400C"/>
                <w:sz w:val="24"/>
              </w:rPr>
              <w:t>cu același punctaj, departajarea</w:t>
            </w:r>
          </w:p>
          <w:p>
            <w:pPr>
              <w:spacing w:line="360" w:lineRule="auto"/>
              <w:ind w:left="0" w:right="0" w:firstLine="493"/>
            </w:pPr>
            <w:r>
              <w:rPr>
                <w:rFonts w:ascii="Cambria" w:hAnsi="Cambria"/>
                <w:b w:val="false"/>
                <w:color w:val="58400C"/>
                <w:sz w:val="24"/>
              </w:rPr>
              <w:t>acestora se va realiza</w:t>
            </w:r>
          </w:p>
          <w:p>
            <w:pPr>
              <w:spacing w:line="360" w:lineRule="auto"/>
              <w:ind w:left="0" w:right="0" w:firstLine="493"/>
            </w:pPr>
            <w:r>
              <w:rPr>
                <w:rFonts w:ascii="Cambria" w:hAnsi="Cambria"/>
                <w:b w:val="false"/>
                <w:color w:val="58400C"/>
                <w:sz w:val="24"/>
              </w:rPr>
              <w:t>descrescător în funcție de</w:t>
            </w:r>
          </w:p>
          <w:p>
            <w:pPr>
              <w:spacing w:line="360" w:lineRule="auto"/>
              <w:ind w:left="0" w:right="0" w:firstLine="493"/>
            </w:pPr>
            <w:r>
              <w:rPr>
                <w:rFonts w:ascii="Cambria" w:hAnsi="Cambria"/>
                <w:b w:val="false"/>
                <w:color w:val="58400C"/>
                <w:sz w:val="24"/>
              </w:rPr>
              <w:t>numărul locurilor de muncă noi create.</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obligatorii: Lista elaborată de GAL cu toate proiectele depuse în cadrul aceleiași sesiuni de depunere pentru aceiași intervenție din SDL care sunt conforme si eligibile; Raportul de evaluare elaborat de GAL cu toate proiectele depuse in cadrul aceleiași sesiuni de depunere</w:t>
            </w:r>
          </w:p>
          <w:p>
            <w:pPr>
              <w:spacing w:line="360" w:lineRule="auto"/>
              <w:ind w:left="0" w:right="0" w:firstLine="493"/>
            </w:pPr>
            <w:r>
              <w:rPr>
                <w:rFonts w:ascii="Cambria" w:hAnsi="Cambria"/>
                <w:b w:val="false"/>
                <w:sz w:val="24"/>
              </w:rPr>
              <w:t>pentru aceiași intervenție din SDL care sunt conforme și eligibile</w:t>
            </w:r>
          </w:p>
          <w:p>
            <w:pPr>
              <w:spacing w:line="360" w:lineRule="auto"/>
              <w:ind w:left="0" w:right="0" w:firstLine="493"/>
            </w:pPr>
            <w:r>
              <w:rPr>
                <w:rFonts w:ascii="Cambria" w:hAnsi="Cambria"/>
                <w:b w:val="false"/>
                <w:sz w:val="24"/>
              </w:rPr>
              <w:t>ierahizate în ordine descrescătoare a punctajului obținut după verificarea criteriilor de selecție.</w:t>
            </w:r>
          </w:p>
          <w:p>
            <w:pPr>
              <w:spacing w:line="360" w:lineRule="auto"/>
              <w:ind w:left="0" w:right="0" w:firstLine="493"/>
            </w:pPr>
            <w:r>
              <w:rPr>
                <w:rFonts w:ascii="Cambria" w:hAnsi="Cambria"/>
                <w:b w:val="false"/>
                <w:sz w:val="24"/>
              </w:rPr>
              <w:t>Metodologia:</w:t>
            </w:r>
          </w:p>
          <w:p>
            <w:pPr>
              <w:spacing w:line="360" w:lineRule="auto"/>
              <w:ind w:left="0" w:right="0" w:firstLine="493"/>
            </w:pPr>
            <w:r>
              <w:rPr>
                <w:rFonts w:ascii="Cambria" w:hAnsi="Cambria"/>
                <w:b w:val="false"/>
                <w:sz w:val="24"/>
              </w:rPr>
              <w:t>Se verifică:</w:t>
            </w:r>
          </w:p>
          <w:p>
            <w:pPr>
              <w:spacing w:line="360" w:lineRule="auto"/>
              <w:ind w:left="0" w:right="0" w:firstLine="493"/>
            </w:pPr>
            <w:r>
              <w:rPr>
                <w:rFonts w:ascii="Cambria" w:hAnsi="Cambria"/>
                <w:b w:val="false"/>
                <w:sz w:val="24"/>
              </w:rPr>
              <w:t>a) Raportul de evaluare elaborat de GAL cu toate proiectele depuse în</w:t>
            </w:r>
          </w:p>
          <w:p>
            <w:pPr>
              <w:spacing w:line="360" w:lineRule="auto"/>
              <w:ind w:left="0" w:right="0" w:firstLine="493"/>
            </w:pPr>
            <w:r>
              <w:rPr>
                <w:rFonts w:ascii="Cambria" w:hAnsi="Cambria"/>
                <w:b w:val="false"/>
                <w:sz w:val="24"/>
              </w:rPr>
              <w:t>cadrul aceleiași sesiuni de depunere pentru aceiași intervenție din</w:t>
            </w:r>
          </w:p>
          <w:p>
            <w:pPr>
              <w:spacing w:line="360" w:lineRule="auto"/>
              <w:ind w:left="0" w:right="0" w:firstLine="493"/>
            </w:pPr>
            <w:r>
              <w:rPr>
                <w:rFonts w:ascii="Cambria" w:hAnsi="Cambria"/>
                <w:b w:val="false"/>
                <w:sz w:val="24"/>
              </w:rPr>
              <w:t>SDL care sunt conforme și eligibile ierahizate în ordine descrescatoare</w:t>
            </w:r>
          </w:p>
          <w:p>
            <w:pPr>
              <w:spacing w:line="360" w:lineRule="auto"/>
              <w:ind w:left="0" w:right="0" w:firstLine="493"/>
            </w:pPr>
            <w:r>
              <w:rPr>
                <w:rFonts w:ascii="Cambria" w:hAnsi="Cambria"/>
                <w:b w:val="false"/>
                <w:sz w:val="24"/>
              </w:rPr>
              <w:t>a punctajului obținut după verificarea criteriilor de selecție.</w:t>
            </w:r>
          </w:p>
          <w:p>
            <w:pPr>
              <w:spacing w:line="360" w:lineRule="auto"/>
              <w:ind w:left="0" w:right="0" w:firstLine="493"/>
            </w:pPr>
            <w:r>
              <w:rPr>
                <w:rFonts w:ascii="Cambria" w:hAnsi="Cambria"/>
                <w:b w:val="false"/>
                <w:sz w:val="24"/>
              </w:rPr>
              <w:t>b) Se identifică proiectele care au același punctaj obținut după verificarea criteriilor de selecție.</w:t>
            </w:r>
          </w:p>
          <w:p>
            <w:pPr>
              <w:spacing w:line="360" w:lineRule="auto"/>
              <w:ind w:left="0" w:right="0" w:firstLine="493"/>
            </w:pPr>
            <w:r>
              <w:rPr>
                <w:rFonts w:ascii="Cambria" w:hAnsi="Cambria"/>
                <w:b w:val="false"/>
                <w:sz w:val="24"/>
              </w:rPr>
              <w:t>c) Proiectele care au același punctaj obținut după verificarea criteriilor de selecție se departajează descrescător în funcție numărul locurilor de muncă noi create în ordine descrescătoare.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Valoare cofinanțării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obligatorii:  </w:t>
            </w:r>
            <w:r>
              <w:rPr>
                <w:rFonts w:ascii="Cambria" w:hAnsi="Cambria"/>
                <w:b w:val="false"/>
                <w:sz w:val="24"/>
              </w:rPr>
              <w:t>Lista elaborata de GAL cu toate proiectele</w:t>
            </w:r>
          </w:p>
          <w:p>
            <w:pPr>
              <w:spacing w:line="360" w:lineRule="auto"/>
              <w:ind w:left="0" w:right="0" w:firstLine="493"/>
            </w:pPr>
            <w:r>
              <w:rPr>
                <w:rFonts w:ascii="Cambria" w:hAnsi="Cambria"/>
                <w:b w:val="false"/>
                <w:sz w:val="24"/>
              </w:rPr>
              <w:t>depuse în cadrul aceleiași sesiuni de depunere pentru aceiași</w:t>
            </w:r>
          </w:p>
          <w:p>
            <w:pPr>
              <w:spacing w:line="360" w:lineRule="auto"/>
              <w:ind w:left="0" w:right="0" w:firstLine="493"/>
            </w:pPr>
            <w:r>
              <w:rPr>
                <w:rFonts w:ascii="Cambria" w:hAnsi="Cambria"/>
                <w:b w:val="false"/>
                <w:sz w:val="24"/>
              </w:rPr>
              <w:t>interventie din SDL care sunt conforme si eligibile, cu acelasi punctaj</w:t>
            </w:r>
          </w:p>
          <w:p>
            <w:pPr>
              <w:spacing w:line="360" w:lineRule="auto"/>
              <w:ind w:left="0" w:right="0" w:firstLine="493"/>
            </w:pPr>
            <w:r>
              <w:rPr>
                <w:rFonts w:ascii="Cambria" w:hAnsi="Cambria"/>
                <w:b w:val="false"/>
                <w:sz w:val="24"/>
              </w:rPr>
              <w:t>după aplicarea primului criteriu de departajare (CD1).</w:t>
            </w:r>
          </w:p>
          <w:p>
            <w:pPr>
              <w:spacing w:line="360" w:lineRule="auto"/>
              <w:ind w:left="0" w:right="0" w:firstLine="493"/>
            </w:pPr>
            <w:r>
              <w:rPr>
                <w:rFonts w:ascii="Cambria Bold" w:hAnsi="Cambria Bold"/>
                <w:b/>
                <w:sz w:val="24"/>
              </w:rPr>
              <w:t>Metodologia:</w:t>
            </w:r>
          </w:p>
          <w:p>
            <w:pPr>
              <w:spacing w:line="360" w:lineRule="auto"/>
              <w:ind w:left="0" w:right="0" w:firstLine="493"/>
            </w:pPr>
            <w:r>
              <w:rPr>
                <w:rFonts w:ascii="Cambria Bold" w:hAnsi="Cambria Bold"/>
                <w:b/>
                <w:sz w:val="24"/>
              </w:rPr>
              <w:t>Se verifică:</w:t>
            </w:r>
          </w:p>
          <w:p>
            <w:pPr>
              <w:spacing w:line="360" w:lineRule="auto"/>
              <w:ind w:left="0" w:right="0" w:firstLine="493"/>
            </w:pPr>
            <w:r>
              <w:rPr>
                <w:rFonts w:ascii="Cambria" w:hAnsi="Cambria"/>
                <w:b w:val="false"/>
                <w:sz w:val="24"/>
              </w:rPr>
              <w:t>a) Lista elaborata de GAL cu toate proiectele depuse în cadrul aceleiași</w:t>
            </w:r>
          </w:p>
          <w:p>
            <w:pPr>
              <w:spacing w:line="360" w:lineRule="auto"/>
              <w:ind w:left="0" w:right="0" w:firstLine="493"/>
            </w:pPr>
            <w:r>
              <w:rPr>
                <w:rFonts w:ascii="Cambria" w:hAnsi="Cambria"/>
                <w:b w:val="false"/>
                <w:sz w:val="24"/>
              </w:rPr>
              <w:t>sesiuni de depunere pentru aceiași interventie din SDL care sunt</w:t>
            </w:r>
          </w:p>
          <w:p>
            <w:pPr>
              <w:spacing w:line="360" w:lineRule="auto"/>
              <w:ind w:left="0" w:right="0" w:firstLine="493"/>
            </w:pPr>
            <w:r>
              <w:rPr>
                <w:rFonts w:ascii="Cambria" w:hAnsi="Cambria"/>
                <w:b w:val="false"/>
                <w:sz w:val="24"/>
              </w:rPr>
              <w:t>conforme si eligibile, cu același punctaj după aplicarea primului</w:t>
            </w:r>
          </w:p>
          <w:p>
            <w:pPr>
              <w:spacing w:line="360" w:lineRule="auto"/>
              <w:ind w:left="0" w:right="0" w:firstLine="493"/>
            </w:pPr>
            <w:r>
              <w:rPr>
                <w:rFonts w:ascii="Cambria" w:hAnsi="Cambria"/>
                <w:b w:val="false"/>
                <w:sz w:val="24"/>
              </w:rPr>
              <w:t>criteriu de departajare (CD1).</w:t>
            </w:r>
          </w:p>
          <w:p>
            <w:pPr>
              <w:spacing w:line="360" w:lineRule="auto"/>
              <w:ind w:left="0" w:right="0" w:firstLine="493"/>
            </w:pPr>
            <w:r>
              <w:rPr>
                <w:rFonts w:ascii="Cambria" w:hAnsi="Cambria"/>
                <w:b w:val="false"/>
                <w:sz w:val="24"/>
              </w:rPr>
              <w:t>b) Proiectele care au acelasi punctaj obtinut dupa verificarea criteriilor dedepartajare de la CD1 se departajeaza în funcție de valoarea cea mai mare de cofinanțare privată.</w:t>
            </w:r>
          </w:p>
          <w:p>
            <w:pPr>
              <w:spacing w:line="360" w:lineRule="auto"/>
              <w:ind w:left="0" w:right="0" w:firstLine="493"/>
            </w:pPr>
            <w:r>
              <w:rPr>
                <w:rFonts w:ascii="Cambria" w:hAnsi="Cambria"/>
                <w:b w:val="false"/>
                <w:sz w:val="24"/>
              </w:rPr>
              <w:t>Se va lua în considerare valoarea absolută a contribuției financiare</w:t>
            </w:r>
          </w:p>
          <w:p>
            <w:pPr>
              <w:spacing w:line="360" w:lineRule="auto"/>
              <w:ind w:left="0" w:right="0" w:firstLine="493"/>
            </w:pPr>
            <w:r>
              <w:rPr>
                <w:rFonts w:ascii="Cambria" w:hAnsi="Cambria"/>
                <w:b w:val="false"/>
                <w:sz w:val="24"/>
              </w:rPr>
              <w:t>proprii (private) asumate de solicitant, care depășește procentul</w:t>
            </w:r>
          </w:p>
          <w:p>
            <w:pPr>
              <w:spacing w:line="360" w:lineRule="auto"/>
              <w:ind w:left="0" w:right="0" w:firstLine="493"/>
            </w:pPr>
            <w:r>
              <w:rPr>
                <w:rFonts w:ascii="Cambria" w:hAnsi="Cambria"/>
                <w:b w:val="false"/>
                <w:sz w:val="24"/>
              </w:rPr>
              <w:t>minim obligatoriu prevăzut în Ghidul Solicitantului pentru tipul de</w:t>
            </w:r>
          </w:p>
          <w:p>
            <w:pPr>
              <w:spacing w:line="360" w:lineRule="auto"/>
              <w:ind w:left="0" w:right="0" w:firstLine="493"/>
            </w:pPr>
            <w:r>
              <w:rPr>
                <w:rFonts w:ascii="Cambria" w:hAnsi="Cambria"/>
                <w:b w:val="false"/>
                <w:sz w:val="24"/>
              </w:rPr>
              <w:t>beneficiar șitipul de intervenție.</w:t>
            </w:r>
          </w:p>
          <w:p>
            <w:pPr>
              <w:spacing w:line="360" w:lineRule="auto"/>
              <w:ind w:left="0" w:right="0" w:firstLine="493"/>
            </w:pPr>
            <w:r>
              <w:rPr>
                <w:rFonts w:ascii="Cambria" w:hAnsi="Cambria"/>
                <w:b w:val="false"/>
                <w:sz w:val="24"/>
              </w:rPr>
              <w:t>Se vor verifica informații din cererea de finanțare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w:t>
            </w:r>
          </w:p>
        </w:tc>
        <w:tc>
          <w:tcPr>
            <w:shd w:val="clear" w:color="auto" w:fill="F8ECD2"/>
            <w:vAlign w:val="center"/>
          </w:tcPr>
          <w:p>
            <w:r>
              <w:rPr>
                <w:rFonts w:ascii="Cambria" w:hAnsi="Cambria"/>
                <w:b w:val="false"/>
                <w:color w:val="58400C"/>
                <w:sz w:val="24"/>
              </w:rPr>
              <w:t>Durata de implementare mai redusă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Documente obligatorii: Lista elaborata de GAL cu toate proiectele depuse în cadrul aceleiași sesiuni de depunere pentru aceiași interventie din SDL care sunt conforme si eligibile; Raportul de evaluare elaborat de GAL cu toate proiectele depuse în cadrul aceleiași sesiuni de depunere pentru aceiași interventie din SDL care sunt conforme și eligibile ierahizate în ordine descrescătoare a punctajului obtinuț după verificarea criteriilor de selecție.Metodologia: Se vor verifica cererile de finantare cu privire la durata deimplementare a proiectelor. Se va avea în vedere termenul cel mai scurt de implementare.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ecima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2"/>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ceccb33e68ac4ccb" /><Relationship Type="http://schemas.openxmlformats.org/officeDocument/2006/relationships/numbering" Target="/word/numbering.xml" Id="Rb85721b0299d42a3" /></Relationships>
</file>